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22" w:rsidRDefault="001A21C7" w:rsidP="00A16640">
      <w:pPr>
        <w:jc w:val="center"/>
        <w:rPr>
          <w:rFonts w:ascii="Times New Roman" w:hAnsi="Times New Roman" w:cs="Times New Roman"/>
          <w:b/>
          <w:sz w:val="26"/>
          <w:szCs w:val="26"/>
        </w:rPr>
      </w:pPr>
      <w:r w:rsidRPr="001A21C7">
        <w:rPr>
          <w:rFonts w:ascii="Times New Roman" w:hAnsi="Times New Roman" w:cs="Times New Roman"/>
          <w:b/>
          <w:sz w:val="26"/>
          <w:szCs w:val="26"/>
        </w:rPr>
        <w:t>HỆ THỐNG TOÀN BỘ</w:t>
      </w:r>
      <w:bookmarkStart w:id="0" w:name="_GoBack"/>
      <w:bookmarkEnd w:id="0"/>
      <w:r w:rsidRPr="001A21C7">
        <w:rPr>
          <w:rFonts w:ascii="Times New Roman" w:hAnsi="Times New Roman" w:cs="Times New Roman"/>
          <w:b/>
          <w:sz w:val="26"/>
          <w:szCs w:val="26"/>
        </w:rPr>
        <w:t xml:space="preserve"> VĂN BẢN PHÁP LUẬT TRONG LĨNH VỰC DÂN SỰ</w:t>
      </w:r>
      <w:r w:rsidR="00A16640">
        <w:rPr>
          <w:rFonts w:ascii="Times New Roman" w:hAnsi="Times New Roman" w:cs="Times New Roman"/>
          <w:b/>
          <w:sz w:val="26"/>
          <w:szCs w:val="26"/>
        </w:rPr>
        <w:t xml:space="preserve"> NĂM 2018</w:t>
      </w:r>
    </w:p>
    <w:tbl>
      <w:tblPr>
        <w:tblStyle w:val="TableGrid"/>
        <w:tblW w:w="9576" w:type="dxa"/>
        <w:tblLook w:val="04A0" w:firstRow="1" w:lastRow="0" w:firstColumn="1" w:lastColumn="0" w:noHBand="0" w:noVBand="1"/>
      </w:tblPr>
      <w:tblGrid>
        <w:gridCol w:w="1449"/>
        <w:gridCol w:w="6219"/>
        <w:gridCol w:w="1908"/>
      </w:tblGrid>
      <w:tr w:rsidR="001A21C7" w:rsidRPr="00046BBB" w:rsidTr="009D0ACC">
        <w:tc>
          <w:tcPr>
            <w:tcW w:w="1449" w:type="dxa"/>
          </w:tcPr>
          <w:p w:rsidR="001A21C7" w:rsidRPr="00046BBB" w:rsidRDefault="001A21C7" w:rsidP="009D0ACC">
            <w:pPr>
              <w:jc w:val="center"/>
              <w:rPr>
                <w:rFonts w:ascii="Times New Roman" w:hAnsi="Times New Roman" w:cs="Times New Roman"/>
                <w:b/>
                <w:sz w:val="26"/>
                <w:szCs w:val="26"/>
              </w:rPr>
            </w:pPr>
            <w:r w:rsidRPr="00046BBB">
              <w:rPr>
                <w:rFonts w:ascii="Times New Roman" w:hAnsi="Times New Roman" w:cs="Times New Roman"/>
                <w:b/>
                <w:sz w:val="26"/>
                <w:szCs w:val="26"/>
              </w:rPr>
              <w:t>Loại văn bản</w:t>
            </w:r>
          </w:p>
        </w:tc>
        <w:tc>
          <w:tcPr>
            <w:tcW w:w="6219" w:type="dxa"/>
          </w:tcPr>
          <w:p w:rsidR="001A21C7" w:rsidRPr="00046BBB" w:rsidRDefault="001A21C7" w:rsidP="009D0ACC">
            <w:pPr>
              <w:jc w:val="center"/>
              <w:rPr>
                <w:rFonts w:ascii="Times New Roman" w:hAnsi="Times New Roman" w:cs="Times New Roman"/>
                <w:b/>
                <w:sz w:val="26"/>
                <w:szCs w:val="26"/>
              </w:rPr>
            </w:pPr>
            <w:r w:rsidRPr="00046BBB">
              <w:rPr>
                <w:rFonts w:ascii="Times New Roman" w:hAnsi="Times New Roman" w:cs="Times New Roman"/>
                <w:b/>
                <w:sz w:val="26"/>
                <w:szCs w:val="26"/>
              </w:rPr>
              <w:t>Tên, ký hiệu văn bản</w:t>
            </w:r>
          </w:p>
        </w:tc>
        <w:tc>
          <w:tcPr>
            <w:tcW w:w="1908" w:type="dxa"/>
          </w:tcPr>
          <w:p w:rsidR="001A21C7" w:rsidRPr="00046BBB" w:rsidRDefault="001A21C7" w:rsidP="009D0ACC">
            <w:pPr>
              <w:jc w:val="center"/>
              <w:rPr>
                <w:rFonts w:ascii="Times New Roman" w:hAnsi="Times New Roman" w:cs="Times New Roman"/>
                <w:b/>
                <w:sz w:val="26"/>
                <w:szCs w:val="26"/>
              </w:rPr>
            </w:pPr>
            <w:r w:rsidRPr="00046BBB">
              <w:rPr>
                <w:rFonts w:ascii="Times New Roman" w:hAnsi="Times New Roman" w:cs="Times New Roman"/>
                <w:b/>
                <w:sz w:val="26"/>
                <w:szCs w:val="26"/>
              </w:rPr>
              <w:t>Tình trạng hiệu lực</w:t>
            </w:r>
          </w:p>
        </w:tc>
      </w:tr>
      <w:tr w:rsidR="001A21C7" w:rsidRPr="00046BBB" w:rsidTr="009D0ACC">
        <w:tc>
          <w:tcPr>
            <w:tcW w:w="1449" w:type="dxa"/>
            <w:vMerge w:val="restart"/>
          </w:tcPr>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ind w:firstLine="360"/>
              <w:rPr>
                <w:rFonts w:ascii="Times New Roman" w:hAnsi="Times New Roman" w:cs="Times New Roman"/>
                <w:sz w:val="26"/>
                <w:szCs w:val="26"/>
              </w:rPr>
            </w:pPr>
            <w:r w:rsidRPr="00046BBB">
              <w:rPr>
                <w:rFonts w:ascii="Times New Roman" w:hAnsi="Times New Roman" w:cs="Times New Roman"/>
                <w:sz w:val="26"/>
                <w:szCs w:val="26"/>
              </w:rPr>
              <w:t>Luật</w:t>
            </w:r>
          </w:p>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1"/>
              </w:numPr>
              <w:ind w:hanging="459"/>
              <w:rPr>
                <w:rFonts w:ascii="Times New Roman" w:hAnsi="Times New Roman" w:cs="Times New Roman"/>
                <w:sz w:val="26"/>
                <w:szCs w:val="26"/>
              </w:rPr>
            </w:pPr>
            <w:r w:rsidRPr="00046BBB">
              <w:rPr>
                <w:rFonts w:ascii="Times New Roman" w:hAnsi="Times New Roman" w:cs="Times New Roman"/>
                <w:sz w:val="26"/>
                <w:szCs w:val="26"/>
              </w:rPr>
              <w:t>Bộ luật Dân sự 2015</w:t>
            </w:r>
          </w:p>
        </w:tc>
        <w:tc>
          <w:tcPr>
            <w:tcW w:w="1908" w:type="dxa"/>
            <w:vMerge w:val="restart"/>
          </w:tcPr>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r w:rsidRPr="00046BBB">
              <w:rPr>
                <w:rFonts w:ascii="Times New Roman" w:hAnsi="Times New Roman" w:cs="Times New Roman"/>
                <w:sz w:val="26"/>
                <w:szCs w:val="26"/>
              </w:rPr>
              <w:t>Còn hiệu lực</w:t>
            </w: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1"/>
              </w:numPr>
              <w:ind w:hanging="459"/>
              <w:rPr>
                <w:rFonts w:ascii="Times New Roman" w:hAnsi="Times New Roman" w:cs="Times New Roman"/>
                <w:sz w:val="26"/>
                <w:szCs w:val="26"/>
              </w:rPr>
            </w:pPr>
            <w:r w:rsidRPr="00046BBB">
              <w:rPr>
                <w:rFonts w:ascii="Times New Roman" w:hAnsi="Times New Roman" w:cs="Times New Roman"/>
                <w:sz w:val="26"/>
                <w:szCs w:val="26"/>
              </w:rPr>
              <w:t>Bộ luật Tố tụng dân sự 2015</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1"/>
              </w:numPr>
              <w:ind w:hanging="459"/>
              <w:rPr>
                <w:rFonts w:ascii="Times New Roman" w:hAnsi="Times New Roman" w:cs="Times New Roman"/>
                <w:sz w:val="26"/>
                <w:szCs w:val="26"/>
              </w:rPr>
            </w:pPr>
            <w:r w:rsidRPr="00046BBB">
              <w:rPr>
                <w:rFonts w:ascii="Times New Roman" w:hAnsi="Times New Roman" w:cs="Times New Roman"/>
                <w:sz w:val="26"/>
                <w:szCs w:val="26"/>
              </w:rPr>
              <w:t>Luật thi hành án dân sự 2008</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1"/>
              </w:numPr>
              <w:ind w:hanging="459"/>
              <w:rPr>
                <w:rFonts w:ascii="Times New Roman" w:hAnsi="Times New Roman" w:cs="Times New Roman"/>
                <w:sz w:val="26"/>
                <w:szCs w:val="26"/>
              </w:rPr>
            </w:pPr>
            <w:r w:rsidRPr="00046BBB">
              <w:rPr>
                <w:rFonts w:ascii="Times New Roman" w:hAnsi="Times New Roman" w:cs="Times New Roman"/>
                <w:sz w:val="26"/>
                <w:szCs w:val="26"/>
              </w:rPr>
              <w:t>Luật Thi hành án dân sự sửa đổi 2014</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1"/>
              </w:numPr>
              <w:ind w:hanging="459"/>
              <w:rPr>
                <w:rFonts w:ascii="Times New Roman" w:hAnsi="Times New Roman" w:cs="Times New Roman"/>
                <w:sz w:val="26"/>
                <w:szCs w:val="26"/>
              </w:rPr>
            </w:pPr>
            <w:r w:rsidRPr="00046BBB">
              <w:rPr>
                <w:rFonts w:ascii="Times New Roman" w:hAnsi="Times New Roman" w:cs="Times New Roman"/>
                <w:sz w:val="26"/>
                <w:szCs w:val="26"/>
              </w:rPr>
              <w:t>Luật hòa giải ở cơ sở năm 2013</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val="restart"/>
          </w:tcPr>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r w:rsidRPr="00046BBB">
              <w:rPr>
                <w:rFonts w:ascii="Times New Roman" w:hAnsi="Times New Roman" w:cs="Times New Roman"/>
                <w:sz w:val="26"/>
                <w:szCs w:val="26"/>
              </w:rPr>
              <w:t>Văn bản hợp nhất</w:t>
            </w:r>
          </w:p>
        </w:tc>
        <w:tc>
          <w:tcPr>
            <w:tcW w:w="6219" w:type="dxa"/>
          </w:tcPr>
          <w:p w:rsidR="001A21C7" w:rsidRPr="00046BBB" w:rsidRDefault="001A21C7" w:rsidP="009D0ACC">
            <w:pPr>
              <w:pStyle w:val="ListParagraph"/>
              <w:numPr>
                <w:ilvl w:val="0"/>
                <w:numId w:val="2"/>
              </w:numPr>
              <w:ind w:hanging="459"/>
              <w:rPr>
                <w:rFonts w:ascii="Times New Roman" w:hAnsi="Times New Roman" w:cs="Times New Roman"/>
                <w:sz w:val="26"/>
                <w:szCs w:val="26"/>
              </w:rPr>
            </w:pPr>
            <w:r w:rsidRPr="00046BBB">
              <w:rPr>
                <w:rFonts w:ascii="Times New Roman" w:hAnsi="Times New Roman" w:cs="Times New Roman"/>
                <w:sz w:val="26"/>
                <w:szCs w:val="26"/>
              </w:rPr>
              <w:t>Văn bản hợp nhất 13/VBHN-VPQH 2018 Luật Thi hành án dân sự 2008</w:t>
            </w:r>
          </w:p>
        </w:tc>
        <w:tc>
          <w:tcPr>
            <w:tcW w:w="1908" w:type="dxa"/>
            <w:vMerge w:val="restart"/>
          </w:tcPr>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r w:rsidRPr="00046BBB">
              <w:rPr>
                <w:rFonts w:ascii="Times New Roman" w:hAnsi="Times New Roman" w:cs="Times New Roman"/>
                <w:sz w:val="26"/>
                <w:szCs w:val="26"/>
              </w:rPr>
              <w:t>Còn hiệu lực</w:t>
            </w: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2"/>
              </w:numPr>
              <w:ind w:hanging="459"/>
              <w:rPr>
                <w:rFonts w:ascii="Times New Roman" w:hAnsi="Times New Roman" w:cs="Times New Roman"/>
                <w:sz w:val="26"/>
                <w:szCs w:val="26"/>
              </w:rPr>
            </w:pPr>
            <w:r w:rsidRPr="00046BBB">
              <w:rPr>
                <w:rFonts w:ascii="Times New Roman" w:hAnsi="Times New Roman" w:cs="Times New Roman"/>
                <w:sz w:val="26"/>
                <w:szCs w:val="26"/>
              </w:rPr>
              <w:t>Văn bản hợp nhất 2782/VBHN-BTP 2014 hợp nhất đăng ký cung cấp thông tin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2"/>
              </w:numPr>
              <w:ind w:hanging="459"/>
              <w:rPr>
                <w:rFonts w:ascii="Times New Roman" w:hAnsi="Times New Roman" w:cs="Times New Roman"/>
                <w:sz w:val="26"/>
                <w:szCs w:val="26"/>
              </w:rPr>
            </w:pPr>
            <w:r w:rsidRPr="00046BBB">
              <w:rPr>
                <w:rFonts w:ascii="Times New Roman" w:hAnsi="Times New Roman" w:cs="Times New Roman"/>
                <w:sz w:val="26"/>
                <w:szCs w:val="26"/>
              </w:rPr>
              <w:t>Văn bản hợp nhất 8020/VBHN-BTP năm 2013 hợp nhất Nghị định đăng ký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2"/>
              </w:numPr>
              <w:ind w:hanging="459"/>
              <w:rPr>
                <w:rFonts w:ascii="Times New Roman" w:hAnsi="Times New Roman" w:cs="Times New Roman"/>
                <w:sz w:val="26"/>
                <w:szCs w:val="26"/>
              </w:rPr>
            </w:pPr>
            <w:r w:rsidRPr="00046BBB">
              <w:rPr>
                <w:rFonts w:ascii="Times New Roman" w:hAnsi="Times New Roman" w:cs="Times New Roman"/>
                <w:sz w:val="26"/>
                <w:szCs w:val="26"/>
              </w:rPr>
              <w:t>Văn bản hợp nhất 8019/VBHN-BTP hợp nhất Nghị định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val="restart"/>
          </w:tcPr>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ind w:firstLine="90"/>
              <w:rPr>
                <w:rFonts w:ascii="Times New Roman" w:hAnsi="Times New Roman" w:cs="Times New Roman"/>
                <w:sz w:val="26"/>
                <w:szCs w:val="26"/>
              </w:rPr>
            </w:pPr>
            <w:r w:rsidRPr="00046BBB">
              <w:rPr>
                <w:rFonts w:ascii="Times New Roman" w:hAnsi="Times New Roman" w:cs="Times New Roman"/>
                <w:sz w:val="26"/>
                <w:szCs w:val="26"/>
              </w:rPr>
              <w:t>Nghị quyết</w:t>
            </w: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03/2018/NQ-HĐTP hướng dẫn áp dụng quy định giải quyết tranh chấp về xử lý nợ xấu, tài sản bảo đảm của khoản nợ xấu tại TAND</w:t>
            </w:r>
          </w:p>
        </w:tc>
        <w:tc>
          <w:tcPr>
            <w:tcW w:w="1908" w:type="dxa"/>
            <w:vMerge w:val="restart"/>
          </w:tcPr>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r w:rsidRPr="00046BBB">
              <w:rPr>
                <w:rFonts w:ascii="Times New Roman" w:hAnsi="Times New Roman" w:cs="Times New Roman"/>
                <w:sz w:val="26"/>
                <w:szCs w:val="26"/>
              </w:rPr>
              <w:t>Còn hiệu lực</w:t>
            </w: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01/2017/NQ-HĐTP an hành một số biểu mẫu trong tố tụng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04/2017/NQ-HĐTP hướng dẫn quyền nộp đơn khởi kiện lại vụ án trả lại đơn khởi kiện</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04/2016/NQ-HĐTP hướng dẫn Bộ luật tố tụng dân sự, Luật tố tụng hành chính về gửi nhận đơn khởi kiện</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103/2015/QH13 về thi hành Bộ luật tố tụng dân sự 2015</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1037/2006/NQ-UBTVQH11 về giao dịch dân sự về nhà ở được xác lập trước ngày 01/7/1991 có người Việt Nam định cư nước ngoài tham gia</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03/2006/NQ-HĐTP hướng dẫn áp dụng một số quy định của Bộ luật dân sự 2005 về bồi thường thiệt hại ngoài hợp đồng</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02/2004/NQ-HĐTP hướng dẫn áp dụng pháp luật trong việc giải quyết các vụ án dân sự, hôn nhân và gia đình</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 xml:space="preserve">Nghị quyết 04/2003/NQ-HĐTP hướng dẫn áp </w:t>
            </w:r>
            <w:r w:rsidRPr="00046BBB">
              <w:rPr>
                <w:rFonts w:ascii="Times New Roman" w:hAnsi="Times New Roman" w:cs="Times New Roman"/>
                <w:sz w:val="26"/>
                <w:szCs w:val="26"/>
              </w:rPr>
              <w:lastRenderedPageBreak/>
              <w:t>dụng quy định của pháp luật trong việc giải quyết các vụ án kinh tế</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01/2003/NQ-HĐTP về việc hướng dẫn áp dụng pháp luật trong việc giải quyết một số loại tranh chấp dân sự, hôn nhân và gia đình</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58/1998/NQ-UBTV về giao dịch dân sự về nhà ở được xác lập trước 1/7/1991</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784/NQ-HĐNN7 về việc phê chuẩn Hiệp định tương trợ tư pháp dân sự gia đình hình sự Việt Nam Bun-ga-ri</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615NQ/HĐNN7 về việc phê chuẩn Hiệp định tương trợ tư pháp vấn đề dân sự gia đình lao động Việt nam Cu ba</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3"/>
              </w:numPr>
              <w:ind w:hanging="459"/>
              <w:rPr>
                <w:rFonts w:ascii="Times New Roman" w:hAnsi="Times New Roman" w:cs="Times New Roman"/>
                <w:sz w:val="26"/>
                <w:szCs w:val="26"/>
              </w:rPr>
            </w:pPr>
            <w:r w:rsidRPr="00046BBB">
              <w:rPr>
                <w:rFonts w:ascii="Times New Roman" w:hAnsi="Times New Roman" w:cs="Times New Roman"/>
                <w:sz w:val="26"/>
                <w:szCs w:val="26"/>
              </w:rPr>
              <w:t>Nghị quyết 616-NQ/HĐNN7 về việc phê chuẩn Hiệp định tương trợ tư pháp dân sự gia đình lao động Việt nam Hung-ga-ri</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val="restart"/>
          </w:tcPr>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ind w:firstLine="180"/>
              <w:rPr>
                <w:rFonts w:ascii="Times New Roman" w:hAnsi="Times New Roman" w:cs="Times New Roman"/>
                <w:sz w:val="26"/>
                <w:szCs w:val="26"/>
              </w:rPr>
            </w:pPr>
            <w:r w:rsidRPr="00046BBB">
              <w:rPr>
                <w:rFonts w:ascii="Times New Roman" w:hAnsi="Times New Roman" w:cs="Times New Roman"/>
                <w:sz w:val="26"/>
                <w:szCs w:val="26"/>
              </w:rPr>
              <w:t xml:space="preserve">Nghị định </w:t>
            </w:r>
          </w:p>
        </w:tc>
        <w:tc>
          <w:tcPr>
            <w:tcW w:w="6219" w:type="dxa"/>
          </w:tcPr>
          <w:p w:rsidR="001A21C7" w:rsidRPr="00046BBB" w:rsidRDefault="001A21C7" w:rsidP="009D0ACC">
            <w:pPr>
              <w:pStyle w:val="ListParagraph"/>
              <w:numPr>
                <w:ilvl w:val="0"/>
                <w:numId w:val="4"/>
              </w:numPr>
              <w:ind w:hanging="459"/>
              <w:rPr>
                <w:rFonts w:ascii="Times New Roman" w:hAnsi="Times New Roman" w:cs="Times New Roman"/>
                <w:sz w:val="26"/>
                <w:szCs w:val="26"/>
              </w:rPr>
            </w:pPr>
            <w:r w:rsidRPr="00046BBB">
              <w:rPr>
                <w:rFonts w:ascii="Times New Roman" w:hAnsi="Times New Roman" w:cs="Times New Roman"/>
                <w:sz w:val="26"/>
                <w:szCs w:val="26"/>
              </w:rPr>
              <w:t>Nghị định 102/2017/NÐ-CP đăng ký biện pháp bảo đảm</w:t>
            </w:r>
          </w:p>
        </w:tc>
        <w:tc>
          <w:tcPr>
            <w:tcW w:w="1908" w:type="dxa"/>
            <w:vMerge w:val="restart"/>
          </w:tcPr>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r w:rsidRPr="00046BBB">
              <w:rPr>
                <w:rFonts w:ascii="Times New Roman" w:hAnsi="Times New Roman" w:cs="Times New Roman"/>
                <w:sz w:val="26"/>
                <w:szCs w:val="26"/>
              </w:rPr>
              <w:t>Còn hiệu lực</w:t>
            </w: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4"/>
              </w:numPr>
              <w:ind w:hanging="459"/>
              <w:rPr>
                <w:rFonts w:ascii="Times New Roman" w:hAnsi="Times New Roman" w:cs="Times New Roman"/>
                <w:sz w:val="26"/>
                <w:szCs w:val="26"/>
              </w:rPr>
            </w:pPr>
            <w:r w:rsidRPr="00046BBB">
              <w:rPr>
                <w:rFonts w:ascii="Times New Roman" w:hAnsi="Times New Roman" w:cs="Times New Roman"/>
                <w:sz w:val="26"/>
                <w:szCs w:val="26"/>
              </w:rPr>
              <w:t>Nghị định 62/2015/NĐ-CP hướng dẫn Luật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4"/>
              </w:numPr>
              <w:ind w:hanging="459"/>
              <w:rPr>
                <w:rFonts w:ascii="Times New Roman" w:hAnsi="Times New Roman" w:cs="Times New Roman"/>
                <w:sz w:val="26"/>
                <w:szCs w:val="26"/>
              </w:rPr>
            </w:pPr>
            <w:r w:rsidRPr="00046BBB">
              <w:rPr>
                <w:rFonts w:ascii="Times New Roman" w:hAnsi="Times New Roman" w:cs="Times New Roman"/>
                <w:sz w:val="26"/>
                <w:szCs w:val="26"/>
              </w:rPr>
              <w:t>Nghị định 11/2012/NĐ-CP sửa đổi Nghị định 163/2006/NĐ-CP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4"/>
              </w:numPr>
              <w:ind w:hanging="459"/>
              <w:rPr>
                <w:rFonts w:ascii="Times New Roman" w:hAnsi="Times New Roman" w:cs="Times New Roman"/>
                <w:sz w:val="26"/>
                <w:szCs w:val="26"/>
              </w:rPr>
            </w:pPr>
            <w:r w:rsidRPr="00046BBB">
              <w:rPr>
                <w:rFonts w:ascii="Times New Roman" w:hAnsi="Times New Roman" w:cs="Times New Roman"/>
                <w:sz w:val="26"/>
                <w:szCs w:val="26"/>
              </w:rPr>
              <w:t>Nghị định 05/2012/NĐ-CP sửa đổi Nghị định đăng ký giao dịch bảo đảm trợ giúp pháp lý, luật sư, tư vấn pháp luật</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4"/>
              </w:numPr>
              <w:ind w:hanging="459"/>
              <w:rPr>
                <w:rFonts w:ascii="Times New Roman" w:hAnsi="Times New Roman" w:cs="Times New Roman"/>
                <w:sz w:val="26"/>
                <w:szCs w:val="26"/>
              </w:rPr>
            </w:pPr>
            <w:r w:rsidRPr="00046BBB">
              <w:rPr>
                <w:rFonts w:ascii="Times New Roman" w:hAnsi="Times New Roman" w:cs="Times New Roman"/>
                <w:sz w:val="26"/>
                <w:szCs w:val="26"/>
              </w:rPr>
              <w:t>Nghị định 88/2008/NĐ-CP xác định lại giới tính</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4"/>
              </w:numPr>
              <w:ind w:hanging="459"/>
              <w:rPr>
                <w:rFonts w:ascii="Times New Roman" w:hAnsi="Times New Roman" w:cs="Times New Roman"/>
                <w:sz w:val="26"/>
                <w:szCs w:val="26"/>
              </w:rPr>
            </w:pPr>
            <w:r w:rsidRPr="00046BBB">
              <w:rPr>
                <w:rFonts w:ascii="Times New Roman" w:hAnsi="Times New Roman" w:cs="Times New Roman"/>
                <w:sz w:val="26"/>
                <w:szCs w:val="26"/>
              </w:rPr>
              <w:t>Nghị định 163/2006/NĐ-CP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4"/>
              </w:numPr>
              <w:ind w:hanging="459"/>
              <w:rPr>
                <w:rFonts w:ascii="Times New Roman" w:hAnsi="Times New Roman" w:cs="Times New Roman"/>
                <w:sz w:val="26"/>
                <w:szCs w:val="26"/>
              </w:rPr>
            </w:pPr>
            <w:r w:rsidRPr="00046BBB">
              <w:rPr>
                <w:rFonts w:ascii="Times New Roman" w:hAnsi="Times New Roman" w:cs="Times New Roman"/>
                <w:sz w:val="26"/>
                <w:szCs w:val="26"/>
              </w:rPr>
              <w:t>Nghị định 144/2006/NĐ-CP họ, hụi, biêu, phường</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4"/>
              </w:numPr>
              <w:ind w:hanging="459"/>
              <w:rPr>
                <w:rFonts w:ascii="Times New Roman" w:hAnsi="Times New Roman" w:cs="Times New Roman"/>
                <w:sz w:val="26"/>
                <w:szCs w:val="26"/>
              </w:rPr>
            </w:pPr>
            <w:r w:rsidRPr="00046BBB">
              <w:rPr>
                <w:rFonts w:ascii="Times New Roman" w:hAnsi="Times New Roman" w:cs="Times New Roman"/>
                <w:sz w:val="26"/>
                <w:szCs w:val="26"/>
              </w:rPr>
              <w:t>Nghị định 138/2006/NĐ-CP hướng dẫn Bộ luật dân sự về quan hệ dân sự có yếu tố nước ngoài</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val="restart"/>
          </w:tcPr>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ind w:firstLine="180"/>
              <w:rPr>
                <w:rFonts w:ascii="Times New Roman" w:hAnsi="Times New Roman" w:cs="Times New Roman"/>
                <w:sz w:val="26"/>
                <w:szCs w:val="26"/>
              </w:rPr>
            </w:pPr>
            <w:r w:rsidRPr="00046BBB">
              <w:rPr>
                <w:rFonts w:ascii="Times New Roman" w:hAnsi="Times New Roman" w:cs="Times New Roman"/>
                <w:sz w:val="26"/>
                <w:szCs w:val="26"/>
              </w:rPr>
              <w:t>Thông tư</w:t>
            </w: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lastRenderedPageBreak/>
              <w:t>Thông tư 08/2018/TT-BTP hướng dẫn về đăng ký, cung cấp thông tin về biện pháp bảo đảm, hợp đồng và trao đổi thông tin về đăng ký biện pháp bảo đảm</w:t>
            </w:r>
          </w:p>
        </w:tc>
        <w:tc>
          <w:tcPr>
            <w:tcW w:w="1908" w:type="dxa"/>
            <w:vMerge w:val="restart"/>
          </w:tcPr>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r w:rsidRPr="00046BBB">
              <w:rPr>
                <w:rFonts w:ascii="Times New Roman" w:hAnsi="Times New Roman" w:cs="Times New Roman"/>
                <w:sz w:val="26"/>
                <w:szCs w:val="26"/>
              </w:rPr>
              <w:t>Còn hiệu lực</w:t>
            </w: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113/2017/TT-BTC sửa đổi 202/2016/TT-BTC quy định mức thu, chế độ thu nộp, quản lý và sử dụng phí trong lĩnh vực đăng ký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12/2017/TT-NHNN sửa đổi 01/2014/TT-NHNN quy định về nhận tiền, bảo quản, vận chuyển tiền mặt, tài sản quý, giấy tờ có giá</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rPr>
          <w:trHeight w:val="70"/>
        </w:trPr>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03/2017/TT-BTP quy định chức danh mã số ngạch tiêu chuẩn nghiệp vụ ngạch công chức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202/2016/TT-BTC quy định mức thu, chế độ thu, nộp, quản lý và sử dụng phí trong lĩnh vực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04/2016/TT-NHNN quy định việc lưu ký và sử dụng giấy tờ có giá tại Ngân hàng Nhà nước Việt  Nam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61/2015/TT-BCA quy định về mẫu Thẻ căn cước công dân</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69/2015/BTC về Khuôn khổ Việt Nam về hợp đồng dịch vụ đảm bảo</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14/2015/BGTVT quy định việc bồi thường ứng trước không hoàn lại trong vận chuyển hành khách bằng đường hàng không</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29/2010/TT-BYT hướng dẫn Nghị định 88/2008/NĐ-CP về xác định lại giới tính</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Thông tư 02/1999/TT-BXD hướng dẫn quản lý nhà ở vắng chủ giữa cá nhân với cá nhân quy định tại Nghị quyết về giao dịch dân sự nhà ở được xác lập trước ngày 01/7/1991</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5"/>
              </w:numPr>
              <w:ind w:hanging="459"/>
              <w:rPr>
                <w:rFonts w:ascii="Times New Roman" w:hAnsi="Times New Roman" w:cs="Times New Roman"/>
                <w:sz w:val="26"/>
                <w:szCs w:val="26"/>
              </w:rPr>
            </w:pPr>
            <w:r w:rsidRPr="00046BBB">
              <w:rPr>
                <w:rFonts w:ascii="Times New Roman" w:hAnsi="Times New Roman" w:cs="Times New Roman"/>
                <w:sz w:val="26"/>
                <w:szCs w:val="26"/>
              </w:rPr>
              <w:t xml:space="preserve">Thông tư 71-TC/KBNN bổ sung việc thi hành Quyết định 17/TTg-1992 về việc trả lại vàng bạc tư trang tạm giữ cho một số đối tượng đã xử lý </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val="restart"/>
          </w:tcPr>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r w:rsidRPr="00046BBB">
              <w:rPr>
                <w:rFonts w:ascii="Times New Roman" w:hAnsi="Times New Roman" w:cs="Times New Roman"/>
                <w:sz w:val="26"/>
                <w:szCs w:val="26"/>
              </w:rPr>
              <w:t>Thông tư liên tịch</w:t>
            </w: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liên tịch 02/2016/TTLT-TANDTC-VKSNDTC quy định việc phối hợp giữa VKSND và TAND trong thi hành Bộ luật tố tụng dân sự</w:t>
            </w:r>
          </w:p>
        </w:tc>
        <w:tc>
          <w:tcPr>
            <w:tcW w:w="1908" w:type="dxa"/>
            <w:vMerge w:val="restart"/>
          </w:tcPr>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r w:rsidRPr="00046BBB">
              <w:rPr>
                <w:rFonts w:ascii="Times New Roman" w:hAnsi="Times New Roman" w:cs="Times New Roman"/>
                <w:sz w:val="26"/>
                <w:szCs w:val="26"/>
              </w:rPr>
              <w:t>Còn hiệu lực</w:t>
            </w: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liên tịch 09/2016/TTLT-BTP-BTNMT hướng dẫn đăng ký thế chấp QSDĐ tài sản gắn liền với đất</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liên tịch 05/2016/TTLT-BTP-BCA-BTC-TANDTC-VKSNDTC  quy định hoạt động Ban chỉ đạo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16/2014/BTP-BTNMT-NHNN hướng dẫn về xử lý tài sản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03/2014/BTP-NHNNVN hướng dẫn việc xác minh điều kiện thi hành án Thừa phát lại tổ chức tín dụng</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 xml:space="preserve">Thông tư 02/2014/BTP-BTC-BLĐTBXH-NHNNVN hướng dẫn việc cung cấp thông tin về tài khoản, thu nhập của người phải thi hành án và </w:t>
            </w:r>
            <w:r w:rsidRPr="00046BBB">
              <w:rPr>
                <w:rFonts w:ascii="Times New Roman" w:hAnsi="Times New Roman" w:cs="Times New Roman"/>
                <w:sz w:val="26"/>
                <w:szCs w:val="26"/>
              </w:rPr>
              <w:lastRenderedPageBreak/>
              <w:t>thực hiện phong tỏa, khấu trừ tài khoản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15/2013/BTP-BGTVT-BTNMT-BCA hướng dẫn việc trao đổi cung cấp thông tin về tài sản bảo đảm giữa cơ quan đăng ký giao dịch bảo đảm với tổ chức hành nghề công chứng, cơ quant hi hành án dân sự và cơ quan đăng ký quyền sở hữu, quyền sử dụng, quyền lưu hành tài sản</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02/2012/BTP-BGTVT hướng dẫn việc đăng ký cung cấp thông tin cầm cố tàu bay thế chấp tàu bay tàu biển</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08/2007/BLĐTBXH-BTP hướng dẫn nội dung Hợp đồng bảo lãnh và việc thanh lý Hợp đồng bảo lãnh cho người người lao động đi làm việc ở nước ngoài</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04/2003/BVHTT-BXD hướng dẫn quyền tác giả đối với tác phẩm kiến trúc</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6"/>
              </w:numPr>
              <w:ind w:hanging="459"/>
              <w:rPr>
                <w:rFonts w:ascii="Times New Roman" w:hAnsi="Times New Roman" w:cs="Times New Roman"/>
                <w:sz w:val="26"/>
                <w:szCs w:val="26"/>
              </w:rPr>
            </w:pPr>
            <w:r w:rsidRPr="00046BBB">
              <w:rPr>
                <w:rFonts w:ascii="Times New Roman" w:hAnsi="Times New Roman" w:cs="Times New Roman"/>
                <w:sz w:val="26"/>
                <w:szCs w:val="26"/>
              </w:rPr>
              <w:t>Thông tư 01/1999/TANDTC-VKSNDTC hướng dẫn áp dụng Nghị quyết về giao dịch dân sự về nhà ở được xác lập trước ngày 1/7/1991</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val="restart"/>
          </w:tcPr>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ind w:firstLine="90"/>
              <w:rPr>
                <w:rFonts w:ascii="Times New Roman" w:hAnsi="Times New Roman" w:cs="Times New Roman"/>
                <w:sz w:val="26"/>
                <w:szCs w:val="26"/>
              </w:rPr>
            </w:pPr>
            <w:r w:rsidRPr="00046BBB">
              <w:rPr>
                <w:rFonts w:ascii="Times New Roman" w:hAnsi="Times New Roman" w:cs="Times New Roman"/>
                <w:sz w:val="26"/>
                <w:szCs w:val="26"/>
              </w:rPr>
              <w:t>Quyết định</w:t>
            </w: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2057/QĐ-BTP 2018 thực hiện Nghị quyết 31-NQ/BCSĐ thi hành án dân sự hành chính</w:t>
            </w:r>
          </w:p>
        </w:tc>
        <w:tc>
          <w:tcPr>
            <w:tcW w:w="1908" w:type="dxa"/>
            <w:vMerge w:val="restart"/>
          </w:tcPr>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r w:rsidRPr="00046BBB">
              <w:rPr>
                <w:rFonts w:ascii="Times New Roman" w:hAnsi="Times New Roman" w:cs="Times New Roman"/>
                <w:sz w:val="26"/>
                <w:szCs w:val="26"/>
              </w:rPr>
              <w:t>Còn hiệu lực</w:t>
            </w: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1051/QĐ-BTP 2018 tổ chức Lớp Bồi dưỡng chuyên sâu về pháp luật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40/QĐ-TANDTC 2018 tăng cường đối thoại trong giải quyết các tranh chấp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245/QĐ-BTP 2018 quy định công tác của Cục Đăng ký quốc gia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49/QĐ-TTg 2018 về phê duyệt Kế hoạch gia nhập Công ước La Hay về hành vi bắt cóc trẻ em quốc tế</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364/QĐ-VKSTC 2017 Quy chế công tác kiểm sát việc giải quyết vụ việc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836/QĐ-BTP 2017 Danh mục văn bản lĩnh vực thi hành án hết hiệu lực toàn bộ</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536/QĐ-TCTHADS 2017 triển khai hỗ trợ trực tuyến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537/QĐ-TCTHADS 2017 triển khai quy chế một cửa tại các cơ quan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 xml:space="preserve">Quyết định 273/QĐ-TCTHADS 2017 Tổ chức thi </w:t>
            </w:r>
            <w:r w:rsidRPr="00046BBB">
              <w:rPr>
                <w:rFonts w:ascii="Times New Roman" w:hAnsi="Times New Roman" w:cs="Times New Roman"/>
                <w:sz w:val="26"/>
                <w:szCs w:val="26"/>
              </w:rPr>
              <w:lastRenderedPageBreak/>
              <w:t>hành án trong nội bộ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362/QĐ-BTP 2016 Kế hoạch triển khai thi hành Bộ luật Tố tụng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276/QĐ-BTP năm 2016 Kế hoạch triển khai thi hành Bộ luật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243/QĐ-TTg năm 2016 Kế hoạch triển khai thi hành Bộ luật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2206/QĐ-BTP 2015 công bố thủ tục hành chính mới được sửa đổi bổ sung thay thế trong đăng ký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734/QĐ-TCTHADS về Bảng thời hạn bảo quản hồ sơ, tài liệu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1676/QĐ-BTP Kế hoạch triển khai thi hành Nghị định 62/2015/NĐ-CP</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35/2015/QĐ-TTg sửa đổi Quyết định 02/2012/QĐ-TTg Danh mục hàng hóa, dịch vụ thiết yếu phải đăng ký hợp đồng theo mẫu, điều kiện giao dịch chung</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613/QĐ-TCTHADS về quy trình nghiệp vụ lưu trữ trong hệ thống tổ chức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824/QĐ-TCTHADS về quy trình hướng dẫn nghiệp vụ thi hành án dân sự trong nội bộ ngành thi hành án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2950/QĐ-BTP 2014 công bố thủ tục hành chính đăng ký giao dịch bảo đảm thuộc quản lý Bộ Tư pháp</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2471/QĐ-BTP năm 2013 quy định chức năng, nhiệm vụ, quyền hạn, tổ chức Cục Đăng ký quốc gia giao dịch bảo đảm</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566/QĐ-VKSTC 2012 về mẫu văn bản tố tụng công tác kiểm sát vụ việc dân sự</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7"/>
              </w:numPr>
              <w:ind w:hanging="459"/>
              <w:rPr>
                <w:rFonts w:ascii="Times New Roman" w:hAnsi="Times New Roman" w:cs="Times New Roman"/>
                <w:sz w:val="26"/>
                <w:szCs w:val="26"/>
              </w:rPr>
            </w:pPr>
            <w:r w:rsidRPr="00046BBB">
              <w:rPr>
                <w:rFonts w:ascii="Times New Roman" w:hAnsi="Times New Roman" w:cs="Times New Roman"/>
                <w:sz w:val="26"/>
                <w:szCs w:val="26"/>
              </w:rPr>
              <w:t>Quyết định 104/2001/QĐ-TTg thành lập Cục đăng ký quốc gia giao dịch bảo đảm thuộc Bộ Tư pháp</w:t>
            </w:r>
          </w:p>
        </w:tc>
        <w:tc>
          <w:tcPr>
            <w:tcW w:w="1908" w:type="dxa"/>
            <w:vMerge/>
          </w:tcPr>
          <w:p w:rsidR="001A21C7" w:rsidRPr="00046BBB" w:rsidRDefault="001A21C7" w:rsidP="009D0ACC">
            <w:pPr>
              <w:ind w:firstLine="252"/>
              <w:rPr>
                <w:rFonts w:ascii="Times New Roman" w:hAnsi="Times New Roman" w:cs="Times New Roman"/>
                <w:sz w:val="26"/>
                <w:szCs w:val="26"/>
              </w:rPr>
            </w:pPr>
          </w:p>
        </w:tc>
      </w:tr>
      <w:tr w:rsidR="001A21C7" w:rsidRPr="00046BBB" w:rsidTr="009D0ACC">
        <w:tc>
          <w:tcPr>
            <w:tcW w:w="1449" w:type="dxa"/>
            <w:vMerge w:val="restart"/>
          </w:tcPr>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p>
          <w:p w:rsidR="001A21C7" w:rsidRPr="00046BBB" w:rsidRDefault="001A21C7" w:rsidP="009D0ACC">
            <w:pPr>
              <w:rPr>
                <w:rFonts w:ascii="Times New Roman" w:hAnsi="Times New Roman" w:cs="Times New Roman"/>
                <w:sz w:val="26"/>
                <w:szCs w:val="26"/>
              </w:rPr>
            </w:pPr>
            <w:r w:rsidRPr="00046BBB">
              <w:rPr>
                <w:rFonts w:ascii="Times New Roman" w:hAnsi="Times New Roman" w:cs="Times New Roman"/>
                <w:sz w:val="26"/>
                <w:szCs w:val="26"/>
              </w:rPr>
              <w:t>Văn bản khác</w:t>
            </w:r>
          </w:p>
        </w:tc>
        <w:tc>
          <w:tcPr>
            <w:tcW w:w="6219" w:type="dxa"/>
          </w:tcPr>
          <w:p w:rsidR="001A21C7" w:rsidRPr="00046BBB" w:rsidRDefault="001A21C7" w:rsidP="009D0ACC">
            <w:pPr>
              <w:pStyle w:val="ListParagraph"/>
              <w:numPr>
                <w:ilvl w:val="0"/>
                <w:numId w:val="8"/>
              </w:numPr>
              <w:ind w:hanging="459"/>
              <w:rPr>
                <w:rFonts w:ascii="Times New Roman" w:hAnsi="Times New Roman" w:cs="Times New Roman"/>
                <w:sz w:val="26"/>
                <w:szCs w:val="26"/>
              </w:rPr>
            </w:pPr>
            <w:r w:rsidRPr="00046BBB">
              <w:rPr>
                <w:rFonts w:ascii="Times New Roman" w:hAnsi="Times New Roman" w:cs="Times New Roman"/>
                <w:sz w:val="26"/>
                <w:szCs w:val="26"/>
              </w:rPr>
              <w:t>Hướng dẫn 14/HD-VKSTC 2018 về công tác kiểm sát việc giải quyết vụ việc dân sự hôn nhân gia đình</w:t>
            </w:r>
          </w:p>
        </w:tc>
        <w:tc>
          <w:tcPr>
            <w:tcW w:w="1908" w:type="dxa"/>
            <w:vMerge w:val="restart"/>
          </w:tcPr>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p>
          <w:p w:rsidR="001A21C7" w:rsidRPr="00046BBB" w:rsidRDefault="001A21C7" w:rsidP="009D0ACC">
            <w:pPr>
              <w:ind w:firstLine="252"/>
              <w:rPr>
                <w:rFonts w:ascii="Times New Roman" w:hAnsi="Times New Roman" w:cs="Times New Roman"/>
                <w:sz w:val="26"/>
                <w:szCs w:val="26"/>
              </w:rPr>
            </w:pPr>
            <w:r w:rsidRPr="00046BBB">
              <w:rPr>
                <w:rFonts w:ascii="Times New Roman" w:hAnsi="Times New Roman" w:cs="Times New Roman"/>
                <w:sz w:val="26"/>
                <w:szCs w:val="26"/>
              </w:rPr>
              <w:t>Còn hiệu lực</w:t>
            </w: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8"/>
              </w:numPr>
              <w:ind w:hanging="459"/>
              <w:rPr>
                <w:rFonts w:ascii="Times New Roman" w:hAnsi="Times New Roman" w:cs="Times New Roman"/>
                <w:sz w:val="26"/>
                <w:szCs w:val="26"/>
              </w:rPr>
            </w:pPr>
            <w:r w:rsidRPr="00046BBB">
              <w:rPr>
                <w:rFonts w:ascii="Times New Roman" w:hAnsi="Times New Roman" w:cs="Times New Roman"/>
                <w:sz w:val="26"/>
                <w:szCs w:val="26"/>
              </w:rPr>
              <w:t>Quy chế 911/QCLN/TCTHADS-TCTHAHS 2015 về phối hợp trong công tác thi hành án dân sự</w:t>
            </w:r>
          </w:p>
        </w:tc>
        <w:tc>
          <w:tcPr>
            <w:tcW w:w="1908" w:type="dxa"/>
            <w:vMerge/>
          </w:tcPr>
          <w:p w:rsidR="001A21C7" w:rsidRPr="00046BBB" w:rsidRDefault="001A21C7" w:rsidP="009D0ACC">
            <w:pPr>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8"/>
              </w:numPr>
              <w:ind w:hanging="459"/>
              <w:rPr>
                <w:rFonts w:ascii="Times New Roman" w:hAnsi="Times New Roman" w:cs="Times New Roman"/>
                <w:sz w:val="26"/>
                <w:szCs w:val="26"/>
              </w:rPr>
            </w:pPr>
            <w:r w:rsidRPr="00046BBB">
              <w:rPr>
                <w:rFonts w:ascii="Times New Roman" w:hAnsi="Times New Roman" w:cs="Times New Roman"/>
                <w:sz w:val="26"/>
                <w:szCs w:val="26"/>
              </w:rPr>
              <w:t xml:space="preserve">Thông báo số 249/TB-VPCP về ý kiến kết luận của thủ tướng chính phủ tại cuộc họp đánh giá tình hình thực hiện pháp luật về bản quyền tác giả, </w:t>
            </w:r>
            <w:r w:rsidRPr="00046BBB">
              <w:rPr>
                <w:rFonts w:ascii="Times New Roman" w:hAnsi="Times New Roman" w:cs="Times New Roman"/>
                <w:sz w:val="26"/>
                <w:szCs w:val="26"/>
              </w:rPr>
              <w:lastRenderedPageBreak/>
              <w:t>quyền liên quan</w:t>
            </w:r>
          </w:p>
        </w:tc>
        <w:tc>
          <w:tcPr>
            <w:tcW w:w="1908" w:type="dxa"/>
            <w:vMerge/>
          </w:tcPr>
          <w:p w:rsidR="001A21C7" w:rsidRPr="00046BBB" w:rsidRDefault="001A21C7" w:rsidP="009D0ACC">
            <w:pPr>
              <w:rPr>
                <w:rFonts w:ascii="Times New Roman" w:hAnsi="Times New Roman" w:cs="Times New Roman"/>
                <w:sz w:val="26"/>
                <w:szCs w:val="26"/>
              </w:rPr>
            </w:pPr>
          </w:p>
        </w:tc>
      </w:tr>
      <w:tr w:rsidR="001A21C7" w:rsidRPr="00046BBB" w:rsidTr="009D0ACC">
        <w:tc>
          <w:tcPr>
            <w:tcW w:w="1449" w:type="dxa"/>
            <w:vMerge/>
          </w:tcPr>
          <w:p w:rsidR="001A21C7" w:rsidRPr="00046BBB" w:rsidRDefault="001A21C7" w:rsidP="009D0ACC">
            <w:pPr>
              <w:rPr>
                <w:rFonts w:ascii="Times New Roman" w:hAnsi="Times New Roman" w:cs="Times New Roman"/>
                <w:sz w:val="26"/>
                <w:szCs w:val="26"/>
              </w:rPr>
            </w:pPr>
          </w:p>
        </w:tc>
        <w:tc>
          <w:tcPr>
            <w:tcW w:w="6219" w:type="dxa"/>
          </w:tcPr>
          <w:p w:rsidR="001A21C7" w:rsidRPr="00046BBB" w:rsidRDefault="001A21C7" w:rsidP="009D0ACC">
            <w:pPr>
              <w:pStyle w:val="ListParagraph"/>
              <w:numPr>
                <w:ilvl w:val="0"/>
                <w:numId w:val="8"/>
              </w:numPr>
              <w:ind w:hanging="459"/>
              <w:rPr>
                <w:rFonts w:ascii="Times New Roman" w:hAnsi="Times New Roman" w:cs="Times New Roman"/>
                <w:sz w:val="26"/>
                <w:szCs w:val="26"/>
              </w:rPr>
            </w:pPr>
            <w:r w:rsidRPr="00046BBB">
              <w:rPr>
                <w:rFonts w:ascii="Times New Roman" w:hAnsi="Times New Roman" w:cs="Times New Roman"/>
                <w:sz w:val="26"/>
                <w:szCs w:val="26"/>
              </w:rPr>
              <w:t>Hướng dẫn 94/HDLN-STP-STNMT về trình tự, thủ tục thừa kế quyền sử dụng đất và áp dụng thống nhất biểu mẫu khi làm thủ tục thừa kế quyền sử dụng đất và tài sản gắn liền với đất trong trường hợp người sử dụng đất đã chết mà nhà, đất để lại thừa kế không có giấy tờ về quyền sử dụng đất theo quy định tại khoản 1 điều 50 luật đất đai</w:t>
            </w:r>
          </w:p>
        </w:tc>
        <w:tc>
          <w:tcPr>
            <w:tcW w:w="1908" w:type="dxa"/>
            <w:vMerge/>
          </w:tcPr>
          <w:p w:rsidR="001A21C7" w:rsidRPr="00046BBB" w:rsidRDefault="001A21C7" w:rsidP="009D0ACC">
            <w:pPr>
              <w:rPr>
                <w:rFonts w:ascii="Times New Roman" w:hAnsi="Times New Roman" w:cs="Times New Roman"/>
                <w:sz w:val="26"/>
                <w:szCs w:val="26"/>
              </w:rPr>
            </w:pPr>
          </w:p>
        </w:tc>
      </w:tr>
    </w:tbl>
    <w:p w:rsidR="001A21C7" w:rsidRPr="00046BBB" w:rsidRDefault="001A21C7" w:rsidP="001A21C7">
      <w:pPr>
        <w:rPr>
          <w:rFonts w:ascii="Times New Roman" w:hAnsi="Times New Roman" w:cs="Times New Roman"/>
          <w:sz w:val="26"/>
          <w:szCs w:val="26"/>
        </w:rPr>
      </w:pPr>
    </w:p>
    <w:p w:rsidR="001A21C7" w:rsidRPr="001A21C7" w:rsidRDefault="001A21C7">
      <w:pPr>
        <w:rPr>
          <w:rFonts w:ascii="Times New Roman" w:hAnsi="Times New Roman" w:cs="Times New Roman"/>
          <w:b/>
          <w:sz w:val="26"/>
          <w:szCs w:val="26"/>
        </w:rPr>
      </w:pPr>
    </w:p>
    <w:sectPr w:rsidR="001A21C7" w:rsidRPr="001A2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C91"/>
    <w:multiLevelType w:val="hybridMultilevel"/>
    <w:tmpl w:val="83888DD8"/>
    <w:lvl w:ilvl="0" w:tplc="5FACD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42E58"/>
    <w:multiLevelType w:val="hybridMultilevel"/>
    <w:tmpl w:val="587C07A8"/>
    <w:lvl w:ilvl="0" w:tplc="6D1EA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E289C"/>
    <w:multiLevelType w:val="hybridMultilevel"/>
    <w:tmpl w:val="4DDEB1AE"/>
    <w:lvl w:ilvl="0" w:tplc="4CD61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07BC9"/>
    <w:multiLevelType w:val="hybridMultilevel"/>
    <w:tmpl w:val="272E63F6"/>
    <w:lvl w:ilvl="0" w:tplc="B4141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C0ABD"/>
    <w:multiLevelType w:val="hybridMultilevel"/>
    <w:tmpl w:val="49C8CF40"/>
    <w:lvl w:ilvl="0" w:tplc="D20A4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06271"/>
    <w:multiLevelType w:val="hybridMultilevel"/>
    <w:tmpl w:val="1F20610C"/>
    <w:lvl w:ilvl="0" w:tplc="230CD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D644B1"/>
    <w:multiLevelType w:val="hybridMultilevel"/>
    <w:tmpl w:val="124C57DA"/>
    <w:lvl w:ilvl="0" w:tplc="670CA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C13316"/>
    <w:multiLevelType w:val="hybridMultilevel"/>
    <w:tmpl w:val="FCDAFBB4"/>
    <w:lvl w:ilvl="0" w:tplc="3FCA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C7"/>
    <w:rsid w:val="001742BD"/>
    <w:rsid w:val="001A21C7"/>
    <w:rsid w:val="008E5B27"/>
    <w:rsid w:val="009B08C3"/>
    <w:rsid w:val="00A1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21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2018-10-03T10:22:00Z</dcterms:created>
  <dcterms:modified xsi:type="dcterms:W3CDTF">2018-10-03T10:24:00Z</dcterms:modified>
</cp:coreProperties>
</file>